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B8" w:rsidRPr="00D314B8" w:rsidRDefault="00D314B8" w:rsidP="00D314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8"/>
          <w:szCs w:val="18"/>
        </w:rPr>
      </w:pPr>
      <w:r w:rsidRPr="00D314B8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Załącznik nr 3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8"/>
          <w:szCs w:val="18"/>
        </w:rPr>
      </w:pPr>
      <w:r w:rsidRPr="00D314B8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do uchwały Rady Gminy Smyków Nr 86/IX/2011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18"/>
          <w:szCs w:val="18"/>
        </w:rPr>
      </w:pPr>
      <w:r w:rsidRPr="00D314B8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z dnia 29 grudnia 2011 r.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jc w:val="center"/>
        <w:rPr>
          <w:rFonts w:ascii="Calibri" w:hAnsi="Calibri" w:cs="Calibri"/>
          <w:sz w:val="28"/>
          <w:szCs w:val="28"/>
        </w:rPr>
      </w:pPr>
      <w:r w:rsidRPr="00D314B8">
        <w:rPr>
          <w:rFonts w:ascii="Calibri" w:hAnsi="Calibri" w:cs="Calibri"/>
          <w:sz w:val="28"/>
          <w:szCs w:val="28"/>
        </w:rPr>
        <w:t>Objaśnienia w sprawie zmian w Wieloletniej Prognozie Finansowej Gminy                        Smyków na lata 2011-2018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Calibri" w:hAnsi="Calibri" w:cs="Calibri"/>
          <w:sz w:val="24"/>
          <w:szCs w:val="24"/>
        </w:rPr>
      </w:pPr>
      <w:r w:rsidRPr="00D314B8">
        <w:rPr>
          <w:rFonts w:ascii="Calibri" w:hAnsi="Calibri" w:cs="Calibri"/>
          <w:sz w:val="24"/>
          <w:szCs w:val="24"/>
        </w:rPr>
        <w:t>W wyniku zmian w Wieloletniej Prognozie Finansowej ustala się plan dochodów  ogółem na 2011 rok w kwocie 13.926.165 zł.  w tym: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Calibri" w:hAnsi="Calibri" w:cs="Calibri"/>
          <w:sz w:val="24"/>
          <w:szCs w:val="24"/>
        </w:rPr>
      </w:pPr>
      <w:r w:rsidRPr="00D314B8">
        <w:rPr>
          <w:rFonts w:ascii="Calibri" w:hAnsi="Calibri" w:cs="Calibri"/>
          <w:sz w:val="24"/>
          <w:szCs w:val="24"/>
        </w:rPr>
        <w:t>- dochody bieżące stanowią          10.871.693 zł,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Calibri" w:hAnsi="Calibri" w:cs="Calibri"/>
          <w:sz w:val="24"/>
          <w:szCs w:val="24"/>
        </w:rPr>
      </w:pPr>
      <w:r w:rsidRPr="00D314B8">
        <w:rPr>
          <w:rFonts w:ascii="Calibri" w:hAnsi="Calibri" w:cs="Calibri"/>
          <w:sz w:val="24"/>
          <w:szCs w:val="24"/>
        </w:rPr>
        <w:t>- wydatki majątkowe stanowią        3.054.472 zł.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D314B8">
        <w:rPr>
          <w:rFonts w:ascii="Calibri" w:hAnsi="Calibri" w:cs="Calibri"/>
          <w:sz w:val="24"/>
          <w:szCs w:val="24"/>
        </w:rPr>
        <w:t>Plan wydatków  ogółem wynosi 16.139.514 zł. z tego: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D314B8">
        <w:rPr>
          <w:rFonts w:ascii="Calibri" w:hAnsi="Calibri" w:cs="Calibri"/>
          <w:sz w:val="24"/>
          <w:szCs w:val="24"/>
        </w:rPr>
        <w:t xml:space="preserve">             - wydatki bieżące stanowią        9.199.526 zł,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D314B8">
        <w:rPr>
          <w:rFonts w:ascii="Calibri" w:hAnsi="Calibri" w:cs="Calibri"/>
          <w:sz w:val="24"/>
          <w:szCs w:val="24"/>
        </w:rPr>
        <w:t xml:space="preserve">             - wydatki majątkowe stanowią  6.939.988 zł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D314B8">
        <w:rPr>
          <w:rFonts w:ascii="Calibri" w:hAnsi="Calibri" w:cs="Calibri"/>
          <w:sz w:val="24"/>
          <w:szCs w:val="24"/>
        </w:rPr>
        <w:t>Różnica w kwocie 2.213.349 zł stanowi wynik budżetu (deficyt), który uległ zmniejszeniu od uchwalenia budżetu o kwotę 2.940.328 zł.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D314B8">
        <w:rPr>
          <w:rFonts w:ascii="Calibri" w:hAnsi="Calibri" w:cs="Calibri"/>
          <w:sz w:val="24"/>
          <w:szCs w:val="24"/>
        </w:rPr>
        <w:t>Kwota długu wynosi 3.096.336 zł, co stanowi 22,23% w wyniku zaciągniętych pożyczek w WFOŚ i GW w Kielcach z możliwością spłaty włącznie do 2018 roku.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8"/>
        <w:rPr>
          <w:rFonts w:ascii="Calibri" w:hAnsi="Calibri" w:cs="Calibri"/>
          <w:sz w:val="24"/>
          <w:szCs w:val="24"/>
        </w:rPr>
      </w:pPr>
      <w:r w:rsidRPr="00D314B8">
        <w:rPr>
          <w:rFonts w:ascii="Calibri" w:hAnsi="Calibri" w:cs="Calibri"/>
          <w:sz w:val="24"/>
          <w:szCs w:val="24"/>
        </w:rPr>
        <w:t>Sytuację finansową Gminy Smyków szczegółowo obrazuje „ Wieloletnia Prognoza Finansowa”, stanowiąca zał.  nr 1 do niniejszej uchwały.</w:t>
      </w:r>
    </w:p>
    <w:p w:rsidR="00D314B8" w:rsidRPr="00D314B8" w:rsidRDefault="00D314B8" w:rsidP="00D314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D314B8">
        <w:rPr>
          <w:rFonts w:ascii="Calibri" w:hAnsi="Calibri" w:cs="Calibri"/>
          <w:sz w:val="24"/>
          <w:szCs w:val="24"/>
        </w:rPr>
        <w:t xml:space="preserve">            Zmiany dokonane zostały w „Wykazie przedsięwzięć”,  określają limity wydatków w poszczególnych latach, zgodnie z zał.  nr 2 do niniejszej uchwały.</w:t>
      </w:r>
    </w:p>
    <w:p w:rsidR="00D314B8" w:rsidRPr="00D314B8" w:rsidRDefault="00D314B8" w:rsidP="00D314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D754B3" w:rsidRDefault="00D754B3"/>
    <w:sectPr w:rsidR="00D754B3" w:rsidSect="008A0527">
      <w:pgSz w:w="12241" w:h="15840"/>
      <w:pgMar w:top="1138" w:right="1138" w:bottom="1417" w:left="1138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14B8"/>
    <w:rsid w:val="00D314B8"/>
    <w:rsid w:val="00D7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4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D314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2012-01-02T13:12:00Z</dcterms:created>
  <dcterms:modified xsi:type="dcterms:W3CDTF">2012-01-02T13:12:00Z</dcterms:modified>
</cp:coreProperties>
</file>